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extensive experience in building scalable applications, system architecture, and leading development teams. Proficient in cutting-edge technologies and frameworks, with a proven track record in delivering high-quality software solutions that enhance operational efficiency and user experience. Adept at collaborating with cross-functional teams to drive project success in high-stakes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Ruby on Rails, .NET,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Agile, SAFe,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 electronic health record management system, enhancing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that migrated legacy monolithic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single-page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type safety.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and GraphQL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response times by 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application deployments and reducing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comprehensive performance tuning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application responsiveness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create engaging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user satisfaction scores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addressing high-availability and data caching requirements for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high-level system architecture reviews and code audits ensuring compliance with best practices and security standards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driving cross-team adoption of microservice-based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standards and software design principles, resulting in increased team productivity and quality of delivered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test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of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ensuring project milestones were achieved within sprints while adapting to changing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 features by integrating user feedback and analytics data, leading to a measurable increase in feature adoption by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third-party services through RESTful APIs to enhance user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build secure and performant web applications for client projects, adhering to established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SQL databases and crafted complex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data retrieval times for application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within teams, fostering collaboration and improved project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implement responsive designs ensuring cross-browser compatibility and enhanced user experiences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API, providing clients with secure transaction processing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unit testing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coverage rate of over 80% for critical components and ensuring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promoting best practices in coding and architecture across software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manual processes, resulting in improved operational efficiency by up to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authorization which secured access control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end-to-end Agile project cycles, including sprint planning, daily stand-ups,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collaborative development efforts by maintaining clear communication and code documentation, ensuring smooth transitions during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productivity by developing onboarding documentation and code standards for new developers, establishing a more cohesive working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sessions,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browser debuggers to identify performance bottlenecks and issues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translate business requirements into technical specifications, ensuring alignment between technical deliverables and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code repositories effectively and streamlining collaboration across distributed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