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experience developing robust software applications. Proven track record in leading teams, implementing best coding practices, and utilizing high-level technical skills across various projects. Adept at integrating cutting-edge technologies to achieve strategic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Kubernetes,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Hadoop, Spark, Kafka, Elasticsearch, Tableau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Jest,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Bitbucket, GitLab,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SOAP, gRPC,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Waterfall,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multiple high-availability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excellent performance and user experience for enterprise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to facilitate seamless data exchange between front-end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back-end services,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implementing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which decreased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delivery (CI/CD), optimizing build pipelines and reducing deployment failures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 across all projects,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design solutions that improved user engagement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visualization within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legacy systems by refactoring monolithic applications into scalable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enterprise-level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Blob Storage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processing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automated testing and deployment of applications, resulting in an overall 20% improvement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 in web applications, leading to improved user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and database optimization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increase in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streaming and processing between multiple microservices, enhancing data consistency across distributed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migration project to transition on-premise systems to cloud infrastructure, delivering significant cost savings and scalability benefits.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and key technologies, fostering a culture of learning and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define project requirements and created technical specifications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time-to-market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enhance user interactions, ensuring responsive design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SQL databases for data management and reporting, leading to improved reliability and speed of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including sprint planning and retrospectives, to continuously improve processes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90% code coverage in critical areas of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management, ensuring environment consistency across development, testing, and production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maintained and updated documentation to reflect the latest changes in architecture and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DevOps teams to implement automated build and deployment strategies, decreasing the release cycle duration by over 50%.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for all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load times and dynamic content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while providing constructive feedback to peers to ensure quality coding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optimization routines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integrity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evolving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and agile methodologies to promote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third-party APIs and services to enhance application functionality, ensuring compliance with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production issues, rapidly identifying root causes and implementing effective resolutions.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processes and application architectures for knowledge sharing and onboarding new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