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deploying scalable backend systems. Proven expertise in optimizing data flows and developing high-performance solutions using modern technologies. Adept at working in a collaborative and agile environment to deliver customer-focused products that drive business success. Passionate about leveraging new technologies while maintaining a sense of humor and camaraderie within the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Ruby,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which improved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ingestion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processed over 5 million data points per day, enhancing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microservices framework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allowing for rapid deployment and scaling of services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fostering smoother transitions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feature-rich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operational costs by 20% through refactoring existing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resource efficiency in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software engineering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caching strategies, resulting in a 40% increase in application speed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monitoring and alerting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enhance product delivery through continuous feedback loops with stakeholders and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data workflows, improving data reliability and task scheduling for analytics jobs.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middleware solution for real-time data synchronization between multiple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customer-first mentality by directly interacting with clients to tailor solutions that addressed their specific data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brainstorming sessions to foster a company culture of innovation and humor, enhancing team morale alongside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over 10,000 requests per minute seamlessly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 storage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needs, improving data retrieval speeds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 before deployment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ensure smooth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significantly enhancing data query efficiency and reducing data over-fetching.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delivery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containerization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by restructuring data handling protocols which decreased system latencies and improved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stakeholders to clarify requirements and deliver tailored backend solutions, exemplifying a customer-first approach.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single-sign-on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across applications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independent scaling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high-quality deployments during the continuous integration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determining technical requirements for projects involving high-volume data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search capabilities on large datasets, improving retrieval times for user queries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backend systems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understanding among developers and clients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foster a positive work environment through collaborative coding sessions and light-hearted team-building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emerging technologies and trends, integrating applicable innovations into existing projects to drive improved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