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backend and fullstack development, specializing in AI-driven applications to enhance productivity and well-being. Proven track record in implementing cutting-edge behavior change technology using a robust tech stack. Adept at collaborating with cross-functional teams to deliver innovative solutions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Microservices Architecture,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an AI-powered behavior change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backend, enabling users to achieve personal well-being goals through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for over 200 organizations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tracking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interactions, resulting in a 30% improvement in user engagement with wellness programs.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interfaces, facilitating seamless data exchange and enhancing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DynamoDB, to deploy serverless applications that improved response times by 50%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lowering bug rates and increasing code reliability in production releases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code reviews within Agile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standards and fostering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release cycles from weeks to days and aligning with rapid business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interface consistency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comprehensive documentation for developers and end-users, improving onboarding processes and fostering a community-centric user support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align product features with market needs, enhancing the platform's value proposition and driving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to enhance coding practices, specifically focused on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capability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analytics processes by implementing clustering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actionable insights for targeted user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methodologies to establish consistent delivery practices, refining estimation and sprint retrospective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program performance and reducing server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solutions that supported large-scale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dynamic content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security protocols by implementing OAuth2 authentication methods, safeguarding sensitive user information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cloud-hosted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operational efficiency and system responsiveness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to architect scalable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 for better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business analysts to translate user requirements into technical specifications for new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from monolithic systems to microservices-based architecture, reducing deployment risks and improving system modularity.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application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payment gateway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secure transaction processing for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platforms,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which facilitated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iterating quickly based on user feedback and metrics derived from application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regression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communication, maintaining alignment on project timelines and deliverable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workloads for system administrators by 50% through effective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performance assessment of application components to identify bottlenecks and suggest optimizations using profiling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