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expertise in identity systems and microservices architecture. Proven ability to design and implement complex software solutions while enhancing security measures and optimizing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API: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Identity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SAML, LDAP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identity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authentication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interactions,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and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that reduced system downtime by 40%,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implementing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query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introduced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requirements and translate them into technical goals, ensuring alignment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CI/CD pipeline that expedited development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services into a single cohesive identity verification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communication, enhancing interoperability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legacy applications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identity solutions in compliance with industry standards and security protocols, achieving a 99.9% uptime in services provided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security-first coding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in assessing requirements and provided technical solutions to complex integration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system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user experience and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monolithic applications 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which improved deployability.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code coverage of over 85% and solidifying the reliability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team, contributing to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improving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faster release cycles and reduced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schema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applications to handle increased data loads effectively through improved queries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upgrading legacy systems to include third-party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increasing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enhance enterprise security functionalities by integrating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providers into applications, improving compatibility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daily data processing tasks, resulting in a 20% reduction in processing times for major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compatibility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in troubleshooting efforts, improving the overall quality and performance of the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across the development team and maintaining code integrity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debugging and optimization efforts, successfully reducing the system load times by introducing efficient data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successful deployments through comprehensive test coverage and issue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codebases through regular updates and performance tuning, ensuring the stability and reliability of applications over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