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full-stack development, specializing in scalable web applications. Expert in a diverse tech stack including Python, React, AWS, and PostgreSQL, with a proven track record of delivering high-quality products under tight deadlines. Adept at driving end-to-end product development and creating efficient CI/CD pipelines to ensure rapid deployment without compromising quality.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FastAPI, Nest.js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GitHub Actions,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Lambda, AWS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VSCode, JIRA,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reducing load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increase in performance compared to the previous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cloud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data handling and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Instrumented application performance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optimizing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on-call incident response, leading the team during critical outages and resolving issues with urgency and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an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database, optimizing queries and enhancing data retrieval processes for better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environment, leading sprint planning sessions and driving team accountability for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fully automated deployment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significantly improving the consistency of application launches.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architectural improvements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design, contributing to the modularity and scalability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user experience through iterative feedback cycles,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user stories and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code quality and performance optimization, fostering a culture of continual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evaluation and integration of new technologies, keeping abreast of industry trends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healthtech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and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to streamline deployment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client-centric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15% increase in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logic and data manipulation, collaborating closely with front-end teams to deliver seamless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define project scopes and technical specifications,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iterative development and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cloud infrastructure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increasing reliability and reducing costs over 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migration projects, transitioning legacy applications to modern stacks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APM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real-time monitoring and proactive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user acceptance testing (UAT) procedures with clients, ensuring that deliverables met business requirements and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 initiatives to adapt new technologies, enhancing overall project efficiency and team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secure API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protection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libraries, enhancing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deployment strategies, aiding in the construction of scalable solutions that adapt to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optimizations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improvement in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Addressed issues in production environments through rapid debugging and troubleshooting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initiatives in transitioning applications to microservices architectures, improving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reviews and code quality assessments, promoting adherence to best practices and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discussions to capture requirements and present technical layouts effectively for development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