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8+ years of experience in designing, developing, and optimizing software solutions. Expertise in conversion rate optimization, mentoring teams, and implementing data-driven strategies to enhance user experience and drive business results. Proven track record in leveraging technologies such as React, Node.js, and SQL to create efficient and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Agile, Scrum,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frontend and backend services, which improved system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in high-traffic applications, optimizing data retrieval processes, resulting in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deployment cycles and minimizing downtime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coding best practices, enhancing team productivity by 15% and improving code quality through peer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implemented conversion rate optimization strategies using analytics tools, leading to an average increase of 20% in overall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web applications with a focus on user experience and interaction, resulting in positive feedback and improved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high availability and scalability, which supported business growth during peak seasons.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monitoring and alerting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and JWT for user authentication, thus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and participated in daily stand-ups and sprint planning sessions, driving project success and timely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both frontend and backend systems, ensuring transparency and facilitating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mechanisms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query performance, significantly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stability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client-side rendering and improved user experience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project to build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with third-party services and streamlining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better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code reliability and reduced bugs reported by clients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large datasets, achieving a 50% improvement in processing speed and enabling real-time analytics for client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responsive design of multiple client websites, resulting in improved mobile performance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normalized database schemas that minimized redundancy and ensured data integrity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coordinated with cross-functional teams to deliver projects on time, while maintaining high standards of documentation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transfer and backend services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cloud infrastructure, improving deployment processes and resource allocation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to team discussions regarding system design and architecture, focusing on scalability and maintainability for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jQuery, thereby enhancing the customer experience and reducing bounce rates on partner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team-wide initiatives to improve build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which streamlined version control and fostered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analytics tools to track application performance metrics, identifying bottlenecks and collaborating with team members to resolve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enhance code quality and share knowledge of programming languages and development practices with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new programming languages and frameworks, focusing on the latest industry trends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