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Detail-driven software engineer with over 8 years of experience in developing scalable back-end systems. Currently, I hold a senior position at an IT consulting firm, where I specialize in executing robust solutions utilizing modern frameworks and programming languages. My focus is on delivering projects that meet client specifications through the effective use of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React, Python, TypeScript, Ruby on Rails,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transactions and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significantly reducing operational costs and increasing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 through optimal API responses,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enabling flexible scaling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elevated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that improved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migrate legacy systems to microservices, enhancing the system’s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50% reduction in the number of requests made by the client-side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search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reliability through test-driven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environment, adhering to established branching strategies to facilitate smooth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methodologies, participating in sprint planning and retrospectives to continuously improve team performance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troubleshooting for complex back-end issues, enhancing client satisfaction and reducing support requests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various SDKs, facilitating smoother transaction processes and broader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that demanded robust and maintainable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specifications, ensuring the successful implementation of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query response times by implementing indexing and optimizing query structures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including daily stand-ups and sprint reviews, to ensure that all development tasks aligned with project timelines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APIs, ensuring secure and efficient data handling while also adhering to industry standards for client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high code quality while minimizing bugs during product releases, increasing testing coverage to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solutions, providing scalable options for client projects while ensuring reliable access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adapting legacy systems to modern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aimed at enhancing the user interface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from legacy systems to modern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team in deploying applications on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UI/UX discussions to shape application functionality, collaborating on client feedback to continuously refine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integration processes and reduce deployment issues, contributing to an overall decrease in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problem-solving, utilizing various tools to enhance existing codebases and improve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discuss emerging technologies in back-end development, fostering a culture of innovation and learning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