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fullstack development, particularly in AI-powered systems. Proficient in designing, implementing, and optimizing scalable solutions that directly drive user engagement and business outcomes. Known for a product-oriented mindset, curiosity in problem-solving, and leadership in technical guidance.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LLamaIndex, OpenAI 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optimized workflows and scalable frontends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server-side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supporting AI functionalities, facilitating seamless data flow and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features for performance,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retrieval-augmented generation (RAG) approaches to enhance AI capabilities, directly impacting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delivering scalable products while ensuring cost-efficiency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high-quality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improving collaboration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monitoring and quicker resolution times for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sessions to align product vision with engineering execution for AI-enhanced workflows, ensuring clear communication and shared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discovery sessions to decompose complex product features into actionable initiatives, ensuring deliverables met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methodologies, managing sprints efficiently and delivering high-impact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maintainability and performance within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platform's capabilities and improving integration with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experimentation with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focus on scalability and performance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hybrid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interfaces and seamless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to interface with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migrations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an internal tool with a high degree of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practices for existing applications, reducing load times by leveraging caching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maintaining high visibility within teams to achieve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across software releases, elevating team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map out future enhancements and identify technical debt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 deployment, creating robust, cost-effective solutions which decreased operational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were responsive and mobile-friendly.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site reliability engineering initiatives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and streamline development workflows, decreasing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integration of third-party provider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effective data exchange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quality across software releases, improving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architecture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implementing data integrity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improvements, increasing team transparency and focus on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directly by providing technical guidance based on product requirements, ensuring alignment with engineering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