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high-quality, scalable solutions in mobile app development. Expert in React Native and TypeScript, with a deep understanding of app infrastructure and UX design principles. Proven ability to lead cross-functional teams and drive complex projects through completion, while maintaining a flexible and innovative approach to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Expo, Redux, Redux Persist,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Babel, Metro, EAS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Realm, WatermelonDB,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TestFlight, Figma, Postman,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mobile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intuitive design and advanced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app-based features for tracking wine journeys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state management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translate user needs into technical solutions that significantly enhanced the app's UX, leveraging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bugs within the mobile application environment by employing effective debugging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implementing best practices and ensuring high-quality codebases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faster deployment process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 technology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solutions, which supported over 1 million users and 5 million wine entries.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WatermelonDB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offline storage capabilities, providing a seamless user experience even with intermittent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native modules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successfully integrating third-party libraries to extend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development,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maintain project timelines and deliverables, facilitating daily stand-ups and sprint planning sessions to track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gathered feedback to iterate on features, resulting in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robust communication between mobile applications and server backend, effectively maintaining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 effectively, ensuring seamless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a smooth interface for accessing and managing their wine collections.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predictive modeling features enhancing user engagement based on their collection behaviors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machine learning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and performance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enabling more efficient project tracking and real-time adjustments to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project requirements, translating business needs into technical specifications and ensuring alignment between engineering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 endpoints to integrate third-party services, enhancing the functionality and reach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states in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 Persist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assured user data continuity across sessions and platform interactions,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architectural support concerning code efficiency and deployment strategies ensuring a scalable app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service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vastly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solutions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accessibility and scalability of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authentication features while minimizing regression bugs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standardize coding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maintainability and code clarity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efficient user experience for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promoting quality coding standards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client engagement lifecycle from requirements to deployment, leveraging technical expertise to solve complex problems and validate functional requirements as per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dynamic data fetching, optimizing application performance and making data retrieval more efficient.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