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adept at designing and implementing scalable applications on AWS. Proficient in collaborating within cross-functional teams, ensuring high reliability and performance of cloud-based applications. Excels in implementing Infrastructure as Code, CI/CD processes, and leveraging various AWS services to drive efficiency and innovation in software development for physical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Lambda, AWS RDS, AWS DynamoDB, AWS CloudFormation, AWS CodePipeline,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Git,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NiFi, Talend, AWS Glue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Workato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 client’s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(IaC)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45%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scalable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various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CodeBuild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robust CI/CD pipelines, leading to automated deployments and accelerated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incident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define application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 and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tuning and cost optimization, achieving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improving team velocity through effective collaboration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data transformations and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the integration of diverse data sources for analytics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cloud architecture for clients in logistics and transportation, ensuring compliance with best practices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applying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test-driven development (TDD) practices within the team, increasing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incorporated best practices into development processes to streamline workflows and improve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migration of legacy applications to a modern cloud-based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scalable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rapid deployment of new features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 integration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Workato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relationship management workflows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software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insights and performance analytics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following OWASP security standards,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reliability by automating testing and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Agile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improved operational efficiency by 25%,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automation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training sessions on emerging technologies and frameworks to keep the team updated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and data visualization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application features that improved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enhancing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cloud-based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storage and retrieval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advocating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ensuring smooth project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promote knowledge sharing and improve code quality, focusing on collaborative problem-solving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multiple cloud-based applications, ensuring adherence to project timelines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automation scripts for deployment processes, significantly reducing manual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consumer-facing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retrieval, enhancing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