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Frontend Developer with over 8 years of experience in building scalable web applications and optimizing user interactions. Adept in aligning software engineering tactics with business objectives, focusing on user-centric design to enhance usability and customer satisfaction. Proven track record in delivering high-impact solutions in dynamic environments, particularly in health tech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Bootstrap,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Data Handling: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Webpack, Babel,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40% through optimized UI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modular front-end architecture for a healthcare payment platform,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 designers and product managers to devise user-centric features, enhancing overall application usability and interaction 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Evolved the front-end deployment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frequency by 60% while ensuring rollback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constructed a reusable component library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accelerated future feature development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enhancing team capabilities to handle complex feature requests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Agile methodologies for sprint planning and progress tracking, leading to a 25% improvement in project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 functionalities within user flows, leveraging machine learning APIs to create personalized user experiences that increased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the use of mobile-first design principles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existing codebases and identified areas for improvement, proactively implementing refactoring strategies that improved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reliability and reduced bugs reported in production environments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API integration processes between client and server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accessibility best practices throughout the application ensuring compliance with WCAG standards, resulting in increased user satisfaction across diverse demographics.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project teams to develop enterprise-grade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client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architecture discussions, fostering a culture of quality coding and adherence to best practices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layouts and interactive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improvements in user interface consistency and readability.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utilized API architecture to establish data communication pathways between frontend applications and backend systems, allocating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needed for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workshops to streamline development workflows and maintain transparency with stakeholders, resulting in a 20% increase in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detailed technical documentation for developed features and systems, improving knowledge transfer and assisting in future scaling and maintenance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applications by identifying bottlenecks in code and optimizing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30% reduction in load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deliver secure authentication solutions for enterprise-level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libraries.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showcases, improving communication and synchronization across multi-disciplinary teams throughout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integrations with third-party services and APIs, providing seamless data exchange and workflow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specifications for both frontend and backend systems, ensuring robust architecture through thorough documentation and design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educational tech resources for junior developers on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control, fostering a strong foundational understanding of software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