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crafting responsive and accessible web applications. Expertise in developing scalable frontend solutions using modern frameworks and tools, complemented by a strong focus on user experience and web accessibility standards. Proven track record of delivering high-quality software in dynamic environments, utilizing Agile methodologies and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CSS, Sass, Webpack, Jest,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aXe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Bitbucket,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PWA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with a responsive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application performance and load times through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compliance, ensuring accessibility for users with disabilities;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frontend interfaces, optimizing data retrieval processes and improving data integrity across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and mentoring for junior developers while promoting best practices for software development and Agile methodologies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streamlining deployment and scaling efforts, reducing delivery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regressions in production releases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daily stand-ups as part of the Agile team, effectively communicating project status and technical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able to boost application speed, achieving a perfect score 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strategies, optimizing API response size and improving loading times for complex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service-oriented architecture that improved system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inconsistencies and minimizing downtime during production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and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frontend frameworks to enhance team knowledge and skills in the evolving tech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software development lifecycle by actively participating in roadmap planning and design sessions, aligning project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user experiences across different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communicate updates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handling, ensuring seamless interaction between frontend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and maintainability of the software with a strong focus on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code optimization strategies that resulted in a 20% reduction in application load times, enhancing user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collaborative development workflows within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contributing to improved application responsiveness and database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for client applications, emphasizing security protocols and web standards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infographics and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enhancing the presenting of analytical data in user-friendly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with various APIs for secure user authentication and authorization, ensuring compliance with industry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setup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promoting efficient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web technologies, initiating the adoption of tools that improved code efficiency and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refactoring projects, improving the maintainability of legacy applications and reducing technical debt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 for iterative development, ensuring the delivered applications met user needs and industry demands.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