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high-performing web applications. Proficient in TypeScript, React, and SQL, with a strong emphasis on web accessibility and user experience. Proven ability to lead projects, mentor teams, and embrace innovative solutions in a remote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React.js, Next.js, Svelte,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CI/CD,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Figma, Postman,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modern, high-performing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for over 500,000 customers monthly.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compliance with WCAG 2.1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management and design, to develop solutions that effectively meet business objectives,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resulting in a 50% reduction in loading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software architecture and coding standards, leading to a 30% increase in code reusability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component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advocating for continuous improvement in technical skills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 coverage from 60%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performance optimization and issue resolution,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researchers to gather user feedback, iteratively improving UI components, facilitating a more intuitive user journey.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various frontend consumers while maintaining security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 to ensure system reliability,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infrastructure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version control systems,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source code management, facilitating collaborative development across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SQL for database interactions, optimizing queries and ensuring data integrity and performance for user-related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reusable and maintainable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APIs and integrate with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allowing for effective sprint planning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robust and error-free communication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maintain high-quality coding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architecture diagrams to maintain transparency and enable knowledge transfer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and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and implement marketing landing pages, improving conversion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applications, diagnosing issues, and implementing fixes in collaboration with stakeholders across different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databases for database management, enabling effective data retrieval and manipulation to support frontend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