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a deep understanding of backend technologies and a track record of delivering high-quality software solutions in diverse IT consulting environments. Expertise spans across multiple programming languages and frameworks with a strong focus on performance optimization and scalability. Proven ability to engage in all phases of the SDLC, including requirements analysis, design, implementation, testing, and deployment, while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Spring Boot, Express.js,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Postman,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Serverless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horizontal scalability across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and compliance with REST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managed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retrieval processes by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performance boost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testing strategies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significantly reducing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serverless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cut infrastructure costs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event-driven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interactions between microservices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adoption of modern CI/CD practices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that reduced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by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 times dramatically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knowledge sharing sessions improving team productivity and mentoring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solutions for APIs through OAuth2 and JWT, ensuring data integrity and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architectural solutions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high availability and failure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migrate legacy systems to modern stack technologies,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enhancing team’s capabilities in managing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system performance and user experience through critical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SQL queries and ensuring data integrity across transactional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build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workflows, ensuring minimal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technical requirements and system architecture for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system health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improving team dynamics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organized source code management and collaboration among teams across multiple locations.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testing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reliable build pipeline for client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user-driven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processing and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analysis to define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leading to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system architects to refine existing infrastructure and enhance system performance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deployment procedures and software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unit and integration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secure coding practices, introducing protocols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and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shaping solutions that addressed enterprise data requirements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internal applications, enhancing team responsiveness to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