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Engineer with a strong focus on building and designing scalable web applications. Proficient in Ruby on Rails, React, and TypeScript, with extensive experience in AWS infrastructure and CI/CD practices. Exceptional mentoring skills and a proven track record of delivering high-performance solutions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RSpec, Capybara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IAM, ECS, RDS,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CircleCI, AWS CodeBuild, AWS CodePipeline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Grafana,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Infrastructure as Code, API Development,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high-availability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and maintainability by implementing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of a SaaS product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and enhancing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automated deployments, reducing release times from weekly to daily.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relational database performance, improving response times by 30% by implementing advanced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user-friendly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user engagement metrics based on A/B testing results.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optimizations that improved uptime from 99.5% to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mid-level engineers, fostering a culture of clean coding and best practices within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critical product features aligned with educational technology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testing, achieving a test coverage of over 90% across critical application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microservices architecture that improved system resilience and reduced maintenance burdens by distributing workloads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integrations with external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authentication providers, enhancing data interoperability across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to implement observability solutions,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decrease in database load during peak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a culture of continuous improvement by organizing regular knowledge sharing sessions and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web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project that achieved 98% uptime and served thousands of active users daily.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query optimization and relational data modeling to enhance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and product managers in an agile environment to launch user-centric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secure and cost-effective storage solutions for client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maintained code quality,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JavaScript and CSS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testing suites that increased code reliability and reduced defects reported by clients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sessions to improve team capability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deployment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DevOps teams to enhance CI/CD processes, leading to a 50% reduction in deployment-related issues.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processes, contributing to a 20% increase in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troubleshooting and debugging issues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optimizing application performance in real-time.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and implemented migration strategies to move from on-premises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frontend experiences by developing responsive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accessibility and performance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quicker identification of system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group’s open-source initiative by fixing bugs and implementing new features in existing libraries, enhancing personal visibility in the community.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best practices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served as a knowledge base for new employees and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discuss technical requirements and ensure delivery aligns with business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