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hands-on experience in distributed systems, database internals, and SQL optimization. Proficient in Rust, Go, and advanced query processing techniques. Strong history of contributing to performance-driven solutions in fast-paced tech environments, leveraging a deep understanding of relational algebra and query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Go, C++, C,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Technical Leadership, Remote Collaboration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Review, Design Patterns,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core components of high-performance database caching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read latency from hundreds of milliseconds to under one millisecond while significantly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stream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that optimized SQL compilers and enabled real-time query analysis for millions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seamless deployment of microservices and improved system reliability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of dataflow graph representations for complex query patterns, leveraging a strong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relational algebra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fully automated DevOps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times and increased system observability via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implemented best practices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quality,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maintainability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product requirements and translate user needs into concrete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multiple technical blogs and participated in tech talks to enhance internal knowledge sharing about SQL caching and query optimization techniques in the data infrastructure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feature enhancements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systems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dealt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query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researched cutting-edge database technologies, ensuring that the solutions delivered are in line with industry standards and innovations in database management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technical excellence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monitoring of application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with a focus on scalability and reliability, utilizing best practices in caching, batching, and concurrency to optimize performance under high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several client projects, improving data retrieval times and system efficiency through effective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optimizations in data processing pipelines,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Go programming, which resulted in a 25% uplift in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multiple teams to design and build a comprehensive REST API to facilitate data interchange services, implementing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and efficient tracking of software development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focusing on the implementation of CI/CD practices to enhance software release cycles, ensuring system integrity and swift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debugging and optimizing SQL queries, significantly reducing load times and resource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training for new features, ensuring teams were aligned with new system capabilities and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various database management systems to ensure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software development lifecycle, including requirements gathering, design, and implementation while applying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find and resolve critical bugs in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tracking, ensuring timely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proprietary software with third-party applications through the implementation of robust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quality assurance checks on developed modules to ensure high standards of software quality,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success by actively participating in code reviews and sharing best practices, improving overall code quality and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specifications based on business needs and collaborated with engineers to ensure proper implementation of guidelines and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