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backend development, specializing in Java/Kotlin and cloud infrastructure. Proven expertise in designing scalable systems and optimizing performance with a focus on service-oriented architecture and best coding practices. Passionate about leveraging cutting-edge technologies to empower real estate investment firms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RESTful APIs, Spring Boot, Hibernate,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 Fargate, AWS RDS,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Liquibase, Database Design,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DDD,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PagerDuty, OAuth, JWT, SOC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transaction processing, focusing on secure payments and efficient bank integrations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communication between frontend applications and backend services, achieving a response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the development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environments setup and management,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for backend systems, focusing on authentication and authorization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gather requirements and deliver well-documented, user-focused features ahead of schedule, achieving a customer satisfaction score improvement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best practices for observability, implementing monitoring and alerting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management and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and code reviews to cultivate a continuous learning culture within the engineering team, significantly reducing technical debt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backend services, successfully reducing latency by leveraging caching mechanisms and improved database access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API changes and updates meticulously to ensure adherence to integration standards while helping third-party developers understand service capabilities better.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Agile development process, participating in sprint planning and retrospectives, to continually improve team efficiency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deployment, which reduced deployment-related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their understanding of backend development principles and increasing the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access and operations across services for higher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ensure seamless integration of user interfaces with backend services, significantly reducing integration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performance and reliability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a new cloud-native application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microservices principles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root-cause analysis for performance issues within existing applications, leading to actionable insights that resulted in a 20% performance enhancement post-remediation.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greatly enhancing the deployment lifecycle and providing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requirements and customize functionality tailored to meet their specific business needs, improving client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transition of legacy systems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operational costs by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authentication processes within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efficiency for customer-facing applications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throughout the process via effective schema mapping and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routine tasks and increasing operational reliability across software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to enhance application security practices, contributing to the establishment of new protocols for data protection and regulatory compliance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user guides for APIs, which streamlined onboarding for new developers and improved service utilization by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changes and provided feedback to enhance code quality and coherence within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fundamental software engineering practices, fostering an environment of growth and technical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