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a proven track record in delivering high-quality web applications and solutions using modern technologies. Expert in developing scalable applications, collaborating with cross-functional teams, and driving projects from concept to completion. Passionate about leveraging agile methodologies and best practices to implement innovative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Responsive Design, Wireframing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complex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microservices architecture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fault tolerance and reducing application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front-end applications and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UX/UI designers to create responsive user interfaces,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an optimal viewing experience on multiple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production hours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for junior developers, fostering a culture of quality and best practices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to manage application deployment, scaling, and operations, optimizing resource utilization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unit and integration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85% test coverage and improving overall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gather requirements and translate business needs into technical specifications, driving a 20% increase in project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technical documentation and architectural diagrams to support new feature implementations and system integration efforts,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Lucidchart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multiple projects simultaneously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ensuring timely delivery and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daily stand-ups and sprint planning sessions, fostering communication and collaboration among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into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retrieval and enhance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modules and plugins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extending platform functionalities to meet unique client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a multi-tenant application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SQL Server, resulting in a 40% increase in client acquisition through enhanced service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migrate legacy systems to modern web stacks,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modern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managed repository contributions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project collaboration and progress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optimizing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performance and reducing latency by up to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execution of unit tests and functional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a robust testing environment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and retrospectives, contributing to continuous improvement processes and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managed server configurations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speed and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efficiency and reducing manual workloads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to enhance existing APIs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response times and scalability with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 in React applications, ensuring better performance and easier maintainability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troubleshooting application issues in collaboration with QA engineers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testing. Improved resolution times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responsive design frameworks to deliver quality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 gathering meetings with stakeholders to collect feedback and align software deliverables with business needs seamlessly.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 architectures to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uptime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 team members' development efforts through mentorship in coding standards and best practices, fostering a culture of collaboration and knowledge sharing.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