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Developer with over 8 years in full stack development, specializing in .NET frameworks, eDiscovery applications, and dynamic UI solutions. Proven ability in leading project lifecycles and delivering high-quality software solutions that meet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PowerShell,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Node.js, ASP.NET,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CI/CD,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 Driven Development, Automated Testing, InfoSec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JIRA, Git, SSIS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scalable, high-quality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focusing on modular architecture to enhance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interactive user interfaces, ensuring responsive design and optimal user experience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data retrieval and manipulation for complex reporting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 orchestration into existing CI/CD pipelines, optimizing deployment strategies and increasing build throughput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extensive documentation on application architecture and deployment processes to support collaborative development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to ensure high software quality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significantly reducing bug rates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management solutions aligning with business needs, enhancing analytics capabilities through Python scripting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application changes and enhancements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Relativity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streamlining data processing workflows and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cross-departmental collaborations to translate business requirements into robust technical solutions, effectively bridging the gap between stakeholders and 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technology updates and best practices to internal teams, fostering knowledge sharing and continuous improvement in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architectures to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scalability and deployment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software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Agile methodologies, and coding standards to cultivate skills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reviews, ensuring adherence to organizational coding standards and promoting high-quality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dynamic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RESTful services to enhance interactivity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online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navigation and experience across diverse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collection and reporting systems that utilized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for real-time analytics and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refine software requirements, ensuring alignment with user needs and expectations within an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development, integrating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existing applications and third-party services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 queries to improve application performance,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transformation and migration tasks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migration of legacy systems to modern web applications, enhancing scalability and user engagement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updates.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software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prioritizing data protection and integrity throughout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software issues across platforms, employing advanced analytical skills to enhance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meetings to brainstorm technology solutions for technical challenges faced by both clients and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state management libraries to enhance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end-users, ensuring effective adoption of new technologies and processes introduced during software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design applications conforming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InfoSec Compliance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safeguard sensitive data handling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