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developer with extensive experience in mobile application development and a proven track record in project leadership, collaborating with cross-functional teams to deliver innovative solutions that meet client requirements. Adept in implementing secure coding practices and fostering a high-performance work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Java, JavaScript, Swift, Kotlin,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Flutter, React Native, iOS SDK, Android SDK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SCORM, Section 508 compliance, FedRAMP,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mobile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deployment processes,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graphic artists and instructional designers to develop applications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repositories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for collaborative workflows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secure coding practices in developing applications, resulting in successful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accreditation for several deployed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in mobile applications, ensuring robust and scalable architecture for high-demand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promoting a culture of continuous improvement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overseen testing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and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defense sector clients to adapt mobile applications based on user feedback, ensuring that evolving requirements were met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modular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enabling easy integration of future features and enhancements in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achieving significant performance improvements in deployment and orchestration of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enhanced flexibility and scalability for customer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project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tracking, improving project transparency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collaborative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team communication, fostering rapid problem resolution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compliance with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cross-functional teams to deliver quality solutions in a timely manner,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user interfaces that increased client satisfaction by providing improved interaction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third-party services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application speed and reduced server load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sequences, accelerating the deployment process without compromising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solutions, ensuring secure access and efficient data retrieval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stakeholder presentations to demonstrate project milestones using visual aids created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internal monitoring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observability and alerting.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customization solutions for client-specific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better content management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to discuss sprint planning and retrospective evaluations, fostering a culture of collaboration and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development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coding projects, enhancing overall productivity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training sessions for junior developers on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documentation, fostering team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market trends to inform design strategies and project direction, ensuring alignment with client goals and technology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maintenance and enhancement of legacy software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continuity of service during system upgrades.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