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specializing in back-end development with expertise in modern frameworks, cloud environments, and service-oriented architectures. Proven track record of delivering scalable software solutions, leading agile teams, and ensuring code quality through stringent testing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Spring Cloud, JDK 11,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Oracle Database, Kafka,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TDD, ELK,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12-Factor App,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RESTful APIs integrated with various front-end technologies through proper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collaborating on code reviews and implementing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secure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software solutions in a cloud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scaling, reducing operational costs by optimizing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quality assurance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to gather requirements and translate business needs into technical specifications for high-volume APIs, benefitting operations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 (ELK)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monitoring solutions, effectively diagnosing and resolving application performance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systems into microservices, establishing a road map that facilitated incremental updates and significant performance optimization, resulting in a 40%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SQL queries and optimized Oracle database interactions, which streamlined data retrieval processes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dashboards for high-volume APIs, aiding in proactive issue identification and resolution with minimal impact on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strategies on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application's resilience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conduct thorough system analyses and deliver software solutions that improved product delivery timelines by aligning business objectives with technical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methodologies and best practices in back-end development,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scalable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adherence to microservices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modeling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performance through query optimization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robust TDD environment that minimized bugs and increased feature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understand customer requirements and translated them into technical specifications for software development, improving user experience by incorporating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microservices,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services and promote seamless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implement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code readability and maintainability, incorporating design patterns that enhanced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agile ceremonies and facilitated team retrospectives to foster communication and continuous improvement within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management of internal tools that improved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clean architecture principles, resulting in improved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strong technical documentation for APIs and software architecture diagrams, ensuring knowledge transfer and alignment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streamline release management processes, successfully reducing bottlenecks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effectively and collaborate with other engineers on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establishment of coding standards and best practices, promoting consistency and quality in software development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initiated discussions on improving the application’s performance through architectural changes and better technology choices, leading to a 15% increase in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expertise for complex system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logging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