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Site Reliability Engineer with a strong background in cloud infrastructure, monitoring, and performance optimization. Skilled in designing and implementing robust systems to improve reliability and availability while optimizing performance and cost. Proven expertise in DevOps practices, CI/CD pipelines, and scalable architecture, contributing to enhanced operational efficiency and system resilience.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Load Balancing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IAM, VPN,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resilient AWS cloud infrastructure leveraging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service availability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monitoring solution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incident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integration and continuous delivery,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production environments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scaling and improved system reliability during traffic spikes.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allowing rapid environment provisioning and consistency across multiple deployment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centralized logging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enhancing troubleshooting capabilities and operational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incident management playbooks and runbooks with a focus on reducing recovery time through strategic use of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remediation.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load balancers and auto-scaling groups to manage traffic effectively across applications, ensuring high availability at all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applications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significant improvements in throughput and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post-mortem analysis for major incidents to identify root causes and implement proactive solutions that improved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establish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enhancing deployment frequency and system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security audits and implemented IAM policies to ensure compliance and data protection across all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SRE disciplines,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architectural documentation to support the ongoing scalability and maintenance of production 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automated deployment pipelines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overhead by 60% in a hybrid cloud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using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simplify system architecture, increasing code maintainability and testability.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ensuring consistency and compliance across various systems and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by integrating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data-in-transit encryption and conducting regular vulnerability assessments.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system observability through integration of API monitoring tools and dashboards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25% faster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to educate the team about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 orchestration best practices, enhancing team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offering insights regarding SRE best practices to bridge the gap between development and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disaster recovery plan that evidenced a successful recovery time objective (RTO) achievement of under two hours during drills.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cloud-native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frontend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the backend, adhering to microservices architecture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delivery by implementing CI/CD workflows with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code reviews and automated testing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health and performance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actionable insights that improved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best practices for deploying applications on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for cost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speeds with optimized queries and indexing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guidance in system migrations from on-premise to cloud environments, ensuring minimal downtime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on codebases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collaboration, and managing code releases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backup and recovery strategies across projects, guaranteeing data protection and business continuity.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