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Proficient Site Reliability Engineer with over 8 years of extensive experience in cloud infrastructure, automation, and operational excellence, specializing in deploying, monitoring, and maintaining large-scale applications. Adept at implementing solutions that ensure scalability, high availability, and optimal performance while leveraging tools across various tech stacks. Passionate about driving innovation and continuous improvement within teams with an emphasis on customer success and efficient service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Go, Bash, YAML,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 OpenShift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 GitLab 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Monitoring/Logging:</w:t>
      </w:r>
      <w:r w:rsidRPr="00C3688B">
        <w:rPr>
          <w:rFonts w:ascii="Arial" w:hAnsi="Arial" w:cs="Arial"/>
          <w:color w:val="424242" w:themeColor="text1" w:themeShade="BF"/>
          <w:sz w:val="20"/>
          <w:szCs w:val="20"/>
        </w:rPr>
        <w:t xml:space="preserve"> Prometheus, Grafana, ELK Stack, Splunk, Datadog,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Terraform,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Balancing, VPN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provisioning and reduce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APIs and microservices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between distributed systems and improve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achieving an uptime of over 99.9% for mission-critical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visibility into system performance and proactive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cycle time by 40% and ensuring robust version control and rollback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a 25% increase in query performance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playbooks to standardize configuration management across all environments, improving deployment consistency and reducing configuration drift.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teams to optimize cloud costs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savings of 20% by rightsizing resources and implementing AWS Cost Explorer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which reduced mean time to recovery (MTTR) by 50% during production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security teams to enforce best practices for cloud security, including IAM roles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securing sensitive information with </w:t>
      </w:r>
      <w:r w:rsidRPr="00C3688B">
        <w:rPr>
          <w:rFonts w:ascii="Arial" w:hAnsi="Arial" w:cs="Arial"/>
          <w:b/>
          <w:color w:val="424242" w:themeColor="text1" w:themeShade="BF"/>
          <w:sz w:val="20"/>
          <w:szCs w:val="20"/>
        </w:rPr>
        <w:t xml:space="preserve">HashiCorp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resilient service discovery mechanism using </w:t>
      </w:r>
      <w:r w:rsidRPr="00C3688B">
        <w:rPr>
          <w:rFonts w:ascii="Arial" w:hAnsi="Arial" w:cs="Arial"/>
          <w:b/>
          <w:color w:val="424242" w:themeColor="text1" w:themeShade="BF"/>
          <w:sz w:val="20"/>
          <w:szCs w:val="20"/>
        </w:rPr>
        <w:t xml:space="preserve">Consul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dynamic service registration and health checks across microservices.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migrating legacy applications to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enhanced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backups and disaster recovery testing for databases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ensuring data integrity and system redundancy every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engineers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cross-platform integration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REST APIs in existing services, reducing processing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managed build pipelines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automated testing and consistent software delivery processes across all project branches.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that improved response times for frequently accessed data by 30%, subsequently enhancing user experience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health and performance metrics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facilitating quicker issue resolution and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participating in scrum meetings to prioritize technical debt and ensure alignment with business objectives throughout project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demonstrating scalability practices and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front-end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Cross-trained team members on deployment strategies and operational best practices in cloud environments, significantly improving team efficiency and output.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multiple production environments with a hands-on approach to resolving incidents and performing root cause analysis.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improving user engagement metrics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IT strategy aligned with business goals, championing modern development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 cloud-native environment with automation tools like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manual workloads and accelerating deployment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upgrades and migrations from monolithic architectures to microservices, benefiting teams with enhanced flexibility and resilience.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requirements from stakeholders to ensure technical solutions align with organizational goals and compliance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