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Developer with extensive experience in creating innovative and scalable web applications. Highly proficient in modern web technologies such as React.js, TypeScript, and Next.js, with a strong track record of optimizing user experiences across high-traffic B2C platforms. Committed to leveraging technical expertise in JavaScript and building accessible web interfaces that align with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Redux, GraphQL, CSS-in-JS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CI/CD,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Sentry, Mixpanel,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 and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SEO Best Practices, Headless CMS, Accessibility Standards,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 through innovative UI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dissect user requirements, converting them into robust frontend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optimization efforts on a high-traffic B2C platform,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bundling and transpiling, resulting in a 40% loading time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cycles while maintaining high standards for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semantic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markup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focusing on SEO and accessibility to improve overall site performance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debugging and troubleshooting of complex issues within the application architecture,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tracking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led Agile team practices, mentoring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foster continuous learning and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A/B testing protocols to gauge user interaction with various UI designs, leading to iterative enhancements based on data-backed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responsive design principles across applications, utilizing CSS Grid and Flexbox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 for dynamic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and established coding standards and best practices, resulting in improved developer onboarding and collaborative efficiencies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of frontend architectures and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transparency and accessibility for project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focusing on the integration of headless CMS for efficient content management and distribution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reviewed and analyzed web analytics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journeys and drive impactful design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third-party service integrations, ensuring performance and reliability within the application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user base growth of over 50% within one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modular component libraries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reuse and consistency across multiple projects while decreasing overall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define clear API specifications and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optimized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quality assurance and facilitate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contributing to sprint planning and retrospectives while focusing on task prioritization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 navigation, incorporating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animations to drive engagement and improve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pipeline improvements,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smoother deployments and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client-centric web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underlining important best practices for site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features in a collaborative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delivery of high-quality code that meets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collaborating with peers to enhance code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documentation for integration processes of third-party services, simplifying onboarding for new tools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code management and team collaboration during project lifecycles.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