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Quality Automation Engineer with over 8 years of experience specializing in test engineering, firmware automation, and quality assurance in the IoT sector. Expertise in utilizing automation frameworks and test-driven development methodologies to improve software reliability and performance. Proven track record of enhancing automation coverage through strategic planning and hands-on experience with diverse technologies and tools. Adept at collaborating cross-functionally to deliver high-quality firmware solutions that drive operational efficiency and safety.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Appium,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Postman, SoapUI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IoT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MQTT, WebSocket, REST APIs,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test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firmware quality across Vehicle Gateway products, resulting in a 30% reduction in regression test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CI/CD pipelines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integration of firmware updates and real-time feedback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test strategies tailored for IoT applications, focusing on increased automation coverage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custom test scripts that simulate various operational scenarios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Vehicle Telematics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firmware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API tests, enhancing the reliability of hardware-software integration for telemetry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and load-testing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firmware for better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defect tracking and reporting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product bugs were addressed promptly and with detailed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framework for automated firmware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streamlined testing and deployment across multiple hardware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health and stability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maintenance and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best practices in test-driven development (TDD) and the importance of quality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focused on enhancing test automation skills among team members, driving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development of user acceptance test (UAT) plans for firmware features, ensuring alignment with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present insights from automated test results, providing data-driven recommendations for product enhancements and risk mitigation.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comprehensive test coverage for various software products, leading to a 25% increase in automated test pass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full-cycle firmware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with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 that interface with embedded systems, ensuring high reliability in field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source control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better team collaboration and versioning for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educate teammates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strategies, fostering an agile development mindset.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engineering teams to identify key metrics for quality assurance processes, creating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visualizing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functionality testing for firmware updates to ensure conformance to safety standards, significantly reducing customer-reported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identity management solutions, improving code coverage significantly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standard operating procedures for internal testing processes, documenting best practices for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legacy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on projects that focused on improving platform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streamline project workflows, contributing to efficient task management and delivery within tight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