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developing scalable, high-performance applications using state-of-the-art technologies. Proven ability to deliver innovative solutions in fast-paced environments, particularly adept in leveraging machine learning and AI-driven tools to enhance the user experience. Strong background in agile methodologies and collaborative development environments, focused on delivering superior customer outcomes in finance and tech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PyTorch,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and scalable financial assistant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investment workflows, ensuring responsiveness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deliver high-quality code, implementing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structures and algorithms, enhancing the efficiency of investment analysis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users to gather requirements and iterated on designs,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AI-driven insights and recommendations for investment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optimal performance and user experience during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in coding standards and Agile processes, fostering a culture of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serverless architecture, reducing costs while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throughput and low latency for data retrieval processes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enforcing quality assurance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the reliability of new features introduced into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and manage operations in a reproducible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metrics and achieving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regression testing, increasing our release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coordinated with DevOps teams to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functionalities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applications with robust backend architecture and efficient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Software Development Life Cycle (SDLC), using Agile methodologies to ensure timely project completion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clean, functional, and responsive elements in applications, contributing to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Recommended and implemented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enhancing team collaboration through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logging and monitoring frameworks like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obtain real-time insights into application health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deployment and maintaining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credential management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performance and scalability of microservices, optimizing algorithms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and microservices in a live production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alongside QA engineers to ensure minimal downtime and optimal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incorporate user suggestions into product revisions efficiently, enhancing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automate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ensuring new feature launches were stable.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teams to deliver full-stack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enhancing overall application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 to continually improve team performance and application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