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IT consulting. Deep expertise in a range of technologies, frameworks, and methodologies that drive successful project execution. Adept at leveraging development skills to enhance operational efficiency and deliver high-quality software solutions. Dedicated to mentoring junior developers and collaborating with cross-functional teams to deliver exceptional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R, Spark,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Bash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the frontend and backend services, resulting in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overhead and increasing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back-end services, ensuring responsive and intuitive UI/UX design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5 software engineers, fostering an environment of continuous improvement and best practices in test-driven development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analysis and reporting features for operational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serverless functions, leading to a 50% cost reduction in infrastructure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(CI/CD), enhancing code quality and accelerating software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emphasizing code quality through code reviews and pair programming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end-to-end testing, achieving a 95% test coverage that minimized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to ensure compliance and protection against vulnerabilities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collaboration sessions to align project goals with client requirements, driving a 20% increase in stakeholder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enhance data retrieval times, resulting in improved application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and user manuals for applications, ensuring maintainability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adhering to coding standards to ensure high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diagrams, ensuring all functional needs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incidence in application deployment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coordinating with multiple teams to ensure efficient integration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optimizing resource allocation to minimize operational costs while ensuring compliance with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improve team performance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legacy systems by migrating them to microservices architecture, significantly improving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comprehensive training programs for new employees focused on agile development practices and technical skills enhancement.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methodologies for faster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(SDLC) processes, including requirement analysis, system design, implementation, and maintaining scalable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visually appealing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optimized query performance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for responsive design, ensuring application accessibility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to enhance application features,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delivered clear technical documentation for system architecture and workflows, fostering improved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implement best practices in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