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developing scalable and high-performance applications. Proven expertise in implementing innovative solutions utilizing a variety of technologies, frameworks, and programming languages. Adept at working in collaborative environments, leading projects, and driving engineering best practices within IT consultancy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Architecture,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Configuration Management, Logging, Monitoring,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Encryption, Secure Coding, Network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implementing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decrease in response time through optimization of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system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user-friendly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it with back-end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while ensuring high levels of software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requirements gathering and software design, resulting in the successful delivery of an enterprise-level application for financial services with heightened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microservices, which improved modular development and allowed teams to work concurrently, reducing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system diagnostics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monitoring solutions that enhanced system reliability and uptime to over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frameworks into applications to enhance visibility and traceability of application errors and system behavior, ensuring rapid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security practices by implementing encryption standards within applications and data storage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mitigating security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contributing to sprint planning and retrospectives, ensuring alignment of engineering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various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integrity and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employing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70% increase in test coverage across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front-end dashboard application that integrates various data sources,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improving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mid-level project that improved user engagement metrics by 25% through enhanced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application deployment processes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creating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cutting down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agile methodology while managing a team of developers, streamlining project communication, and increasing on-time project delivery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define new features based on client feedback and competitive analysis, implementing these features seamlessly within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a 20% improvement in data retrieval times, enhancing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the detection of critical bugs before production deployment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interactions to gather specific project requirements, translating them into actionable development tasks for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reducing latency across web applications and improving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development projects focused on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where I integrated third-party APIs for enhanced functionality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existing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techniques included optimizing database access patterns to reduce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senior developers to identify potential improvements and align project goals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process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10% increase in workflow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and integration tests for applications ensuring code quality and reducing post-deployment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complex issues across applications, collaborating with cross-functional teams to ensure timely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software systems, focusing on best practices and code quality to enhance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bases effectively, ensuring a streamlined collaboration process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