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comprehensive experience in designing, implementing, and maintaining scalable software solutions in high-demand environments. Proven track record in IT consulting firms with a keen focus on agility and adaptability within ever-evolving technical landscapes, leveraging expertise in contemporary technologies and programming languages.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flexibility which increased deployment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rendering speed by 50% via effective state management and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which resulted in a cost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continuous delivery (CI/CD) processes with reduced manual oversight, achieving 90% build success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facilitated the communication between services and mobile applications, ensuring secure data exchange and adhering to best practices of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through effective implementation of Angular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SASS and LESS, leading to 15% higher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performance tracking and incident response, decreasing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fostering a culture of continuous improvement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successfully training team members on automated testing frameworks and container orchestration, enhancing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SQL queries for performance, achieving a significant reduction in data retrieval 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solutions to extend functional capabilities, collaborating with stakeholders to ensure alignment with business objectives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enforce coding standards and paradigms, resulting in improved team code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frontend, enhancing the responsiveness of the applications which led to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optimizing complex SQL queries and implementing indexing strategies, significantly reducing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 to deliver software solutions within sprint cycles, frequently participating in stand-ups, retrospectives, and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decrease in bug counts post-release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third-party services, ensuring seamless data flow and operational consistency across platforms, contributing to increased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consistency in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code coverage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providing version control and optimized team collaboration during code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management and trained junior developers on best practices in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documentation, aiding in building a more sustainable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payment systems into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PCI-DSS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by developing detailed documentation and supporting clients through the onboarding process with technical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tuning for optimized data access patterns,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stability and collaboration on multiple coding projects while applying best practices in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applications, significantly improving support response times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