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progressive experience in IT consulting. Proven expertise in developing scalable applications leveraging modern technologies and frameworks, contributing to enterprise solutions that drive organizational growth. Proficient in Agile methodologies, enhancing collaboration, and maximizing productivity through innovative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NoSQL,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client and server, achieving 99.9% uptime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cloud-native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architecture for serverless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best practices in front-end and back-end development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architectures, promoting reusability and reducing deployment time by 40% through containerization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implementing ORM frameworks for efficient data manipulation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to transition legacy systems to modern cloud solutions, achieving a 50%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flow efficiency across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delivering high-quality software iterations consistently while increasing team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user-friendly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Conceptualized and executed a comprehensive security assessment strategy employing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ensure application integrity and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as part of a development team providing technical expertise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access speed by 25% through optimized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quality assurance, reducing bugs in production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stakeholders to gather requirements and deliver technical specifications for web applications designed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modernizing functionalities while preserving existing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Formulated project documentation outlining technical requirements and design recommendations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DevOps transitions,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infrastructure as code and reduce deployment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software maintenance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efficiency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RESTful API integrations, ensuring clear communication with front-end teams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and configuration of applications in cloud environments, primarily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developers on critical user interface projects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collaboration by facilitating daily stand-ups and retrospectives as part of Agile processes, improving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bug fix initiatives for production environments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tools, ensuring minimal downtime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enhanced operational efficiency and team productivity, integrating </w:t>
      </w:r>
      <w:r w:rsidRPr="00C3688B">
        <w:rPr>
          <w:rFonts w:ascii="Arial" w:hAnsi="Arial" w:cs="Arial"/>
          <w:b/>
          <w:bCs/>
          <w:color w:val="424242" w:themeColor="text1" w:themeShade="BF"/>
          <w:sz w:val="20"/>
        </w:rPr>
        <w:t xml:space="preserve">Microsoft 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workflow automation.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