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experienced software engineer with over 8 years of expertise in full-stack development, specializing in TypeScript and JavaScript applications. Proven track record of designing and building scalable AI systems and developer tooling that enhance operational efficiencies in educational technology. Adept at fostering collaboration and mentorship among teams, driving AI adoption, and enabling seamless integration of advanced technologies. Strong proficiency in backend services with Node.js, front-end frameworks like Vue.js, and AI orchestration tools.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Vue.js 3,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pgvector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ML Tools:</w:t>
      </w:r>
      <w:r w:rsidRPr="00C3688B">
        <w:rPr>
          <w:rFonts w:ascii="Arial" w:hAnsi="Arial" w:cs="Arial"/>
          <w:color w:val="424242" w:themeColor="text1" w:themeShade="BF"/>
          <w:sz w:val="20"/>
          <w:szCs w:val="20"/>
        </w:rPr>
        <w:t xml:space="preserve"> LangSmith, LangGraph,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 APIs, gRPC,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Tools:</w:t>
      </w:r>
      <w:r w:rsidRPr="00C3688B">
        <w:rPr>
          <w:rFonts w:ascii="Arial" w:hAnsi="Arial" w:cs="Arial"/>
          <w:color w:val="424242" w:themeColor="text1" w:themeShade="BF"/>
          <w:sz w:val="20"/>
          <w:szCs w:val="20"/>
        </w:rPr>
        <w:t xml:space="preserve"> Prometheus, Grafana, OpenTelemetry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backend services that facilitated AI agent capabilities, enhancing multi-agent orchestration and tool-use integration using </w:t>
      </w:r>
      <w:r w:rsidRPr="00C3688B">
        <w:rPr>
          <w:rFonts w:ascii="Arial" w:hAnsi="Arial" w:cs="Arial"/>
          <w:b/>
          <w:color w:val="424242" w:themeColor="text1" w:themeShade="BF"/>
          <w:sz w:val="20"/>
          <w:szCs w:val="20"/>
        </w:rPr>
        <w:t xml:space="preserve">LangGraph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cross-team AI initiatives, ensuring high availability and easy integration for product pods across scheduling and curriculum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reusable SDKs and best practices for AI service integrations, significantly improving developer experience and streamlining the integration process for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developer tooling and comprehensive documentation to empower product teams in building AI features,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of orchestration pipelines that enabled monitoring at scale using </w:t>
      </w:r>
      <w:r w:rsidRPr="00C3688B">
        <w:rPr>
          <w:rFonts w:ascii="Arial" w:hAnsi="Arial" w:cs="Arial"/>
          <w:b/>
          <w:color w:val="424242" w:themeColor="text1" w:themeShade="BF"/>
          <w:sz w:val="20"/>
          <w:szCs w:val="20"/>
        </w:rPr>
        <w:t xml:space="preserve">LangSmith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observability for AI-driven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product teams to guide AI adoption best practices and troubleshoot integration issues using </w:t>
      </w:r>
      <w:r w:rsidRPr="00C3688B">
        <w:rPr>
          <w:rFonts w:ascii="Arial" w:hAnsi="Arial" w:cs="Arial"/>
          <w:b/>
          <w:color w:val="424242" w:themeColor="text1" w:themeShade="BF"/>
          <w:sz w:val="20"/>
          <w:szCs w:val="20"/>
        </w:rPr>
        <w:t xml:space="preserve">OpenTelemetry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observability.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designing and implementing databases to support AI systems, including vector storage solutions with </w:t>
      </w:r>
      <w:r w:rsidRPr="00C3688B">
        <w:rPr>
          <w:rFonts w:ascii="Arial" w:hAnsi="Arial" w:cs="Arial"/>
          <w:b/>
          <w:color w:val="424242" w:themeColor="text1" w:themeShade="BF"/>
          <w:sz w:val="20"/>
          <w:szCs w:val="20"/>
        </w:rPr>
        <w:t xml:space="preserve">pgvector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querying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validated front-end components in </w:t>
      </w:r>
      <w:r w:rsidRPr="00C3688B">
        <w:rPr>
          <w:rFonts w:ascii="Arial" w:hAnsi="Arial" w:cs="Arial"/>
          <w:b/>
          <w:color w:val="424242" w:themeColor="text1" w:themeShade="BF"/>
          <w:sz w:val="20"/>
          <w:szCs w:val="20"/>
        </w:rPr>
        <w:t xml:space="preserve">Vue.js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enhancing user interactions for AI platform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on best practices for AI platform consistency and development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teams to leverage autonomous workflows by integrating AI orchestration and lifecycle management, driving initiatives towards improved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processes, ensuring quality control and reduced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high-performance algorithms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 and machine learning tasks that empowered decision-making in academic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visualizing system metrics and application performance, facilitating easy interpretation of data for ongoing optimizations.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multi-tiered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architecture for educational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services with front-end applications to improve user engagement,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persistence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architecture by migrating legacy systems to modern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resulting in a 30% increase in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implement solutions based on customer feedback,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quick prototyping and data storage for user profiling.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custom toolkits for developers to streamline project onboarding and reduce dependency complexities,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workshops focused on improving AI adoption and creating impactful developer experiences with emphasis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 observability strategy with tools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incident response times and enhancing system reliability for product offerings.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and UI performance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scalable, secure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external services for enhanced functionality and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utilizing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intuitive user interfaces that catered to educational use cases.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normalization and efficient querying practices were upheld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version control protocols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collaboration among team members and maintaining code integrity throughout the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