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Java Developer with over 8 years of experience in IT consulting and application development. Proficient in designing and implementing scalable and high-performance applications using modern technologies. A proven track record of leading development teams to deliver impactful software solutions that meet client needs in a fast-paced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SQL,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Hibernate, React, Angular, Vue.js,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Maven, Gradle,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 Architecture, Agile Methodologies, Test-Driven Development,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performance and a 25% reduction in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for mobile and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interaction with multiple client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maintainability while reducing operational costs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Agile methodologies, increasing project delivery speed by 20% and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high-volume applications, reducing response time by 35% and improving overall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to design microservices that adhere to best practices and design patterns, resulting in a flexible and maintainable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core Java concepts and software development principles,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enhanced functionalities for client applications and improving service-level agreements (SLAs).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for code quality and performance, significantly reducing technical debt and improving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development workflows and enhancing deployment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serverless applications using AWS Lambda and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infrastructure costs and improving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resolved CI/CD pipeline issues, ensuring seamless integration and deployment of software solutions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profiling of existing applications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bottlenecks and enhance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high-availability and scalability for various financial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on-premise solutions to cloud-based platforms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regulations and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dynamic web pages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90% code coverage and maintaining software reliability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and other stakeholders to define application features and prioritize tasks in alignment with project goals and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best practices for code versioning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collaboration within the development team and improving overall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 meetings and sprint planning sessions to ensure alignment and address any roadblocks in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designers to translate designs into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secure authentication services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web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Tomcat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developing customer-centric online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issues in existing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profilers and logging frameworks to enhance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models and schema designs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optimizing performance and ensuring efficient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to ensure adherence to coding standards and best practices, significantly improving code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small-scale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web functionalities for internal tools and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Learnt and adapted to new technologies quickly,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 team in legacy system upgrades, restructuring codebase and implementing modern frameworks.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