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professional experience in developing scalable applications. Expertise in Laravel and Vue.js, combined with a strong background in eCommerce solutions and cloud technologies. Passionate about advancing sustainable food systems through efficient and user-friendly digital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 7.x, Laravel, JavaScript,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TDD,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 techniques, Performance profiling, Code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Nuxt.js, Typescript, Looker,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Team mentorship, Cross-functional communication, Problem-solving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eCommerce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with a focus on scalability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single-page applications that increased user engagement by 40%, leveraging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7.x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high-performance applications, optimizing complex queries to improve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solutions for supply chain logistics, ensuring seamless integration between the application, CRM, and content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TDD methodologies, leading to a 50% reduction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clean, maintainable code, fostering a culture of excellence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advanced caching techniques and profiling tools, significantly enhancing user experience and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processes, including sprint planning and task estimation, driving a 25%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best practices, enhancing overall team capability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innovative technologies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server-side rendering processes, improving SEO and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security by implementing robust measures against SQL injection and unauthorized data access, maintaining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DevOps practices, including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development and production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industry trends and technologies to propose enhancements to existing systems, leading to a more resilient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data scientists to create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deployment times by 20% through effective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optimization of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integrity and retrieval speeds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front-end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rates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following TDD,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and reliability of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ensuring alignment with client goals and product 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clear communication between client applications and back-end services, maintaining a secure data transfer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and cost-effective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practices, including daily stand-ups and retrospectives, improving team velocity and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enhancing operational efficiencies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interactive user interfaces, contributing to a streamlined user experience and increased feedback from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projects, enhancing communication across multiple software systems improving interoperability and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emphasized clean coding standards and best practices, contributing to a 15% reduction in bug rates upon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sessions to integrate new software solutions, increasing user adoption and satisfaction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processes for new software initiatives, ensuring clarity and facilitating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junior team members in technical skills development sessions, fostering a collaborative and growth-oriented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