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Engineer with over 8 years of experience architecting and implementing scalable web applications and services. Expertise in both frontend and backend technologies including Angular, .NET/C#, and microservices architecture. A proactive collaborator with a strong focus on delivering high-quality software solutions and best practices. Adept at troubleshooting and optimizing systems within cloud environments, with a commitment to continuous learning and adopting the latest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Microservices, RESTful APIs, API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Visual Studio, Swagger,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Coding, OWASP, Code Reviews,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dynamic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web platforms, ensuring a responsive design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scalability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requirements and deploy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delivery speed by 30%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efficient development and production environments, reducing deployment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adherence to coding standards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mentored junior developers, fostering a culture of learning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complete software development lifecycle (SDLC), culminating in regular releases based on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build robust back-end solutions, optimizing data retrieval queries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onboarding for new developers and stakeholders, reducing ramp-up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critical APIs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achieving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architectural discussions, contributing to the design of a decoupled system that improved platform security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incremental features, adapting strategies based on team feedback and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various projects involving compliance in regulated industries, ensuring all software solutions met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implementing user feedback into design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enhanced the flexibility and deployability of our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endpoints were reliable and secure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uptime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coding standards across multiple projects to promote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ensuring project alignment with client requirements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Continuous Integration/Continuous Deployment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pipelines that reduced deployment errors and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application requirements, translating them into technical specifications for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visual appeal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integrating client-desired features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enhancements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fortifying applications against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smooth team workflows and project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emerging technologies and best practices, strengthening team knowledge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resolution of bugs and maintaining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and scalability, achieving significant improvements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project strategies and goals, ensuring alignment with the company’s overall mission.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