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building robust applications leveraging Golang, React, and cloud technologies. Proven ability to drive technical vision, innovate on complex problems, and enhance user experiences in high-stakes environments. Adept at collaborating in diverse teams and adapting swiftly to change, making a significant impact towards reshaping traditional marketplaces in the art and luxury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JavaScript,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gRPC, RESTful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design and develop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architecture that improved system scalability by 30% at an IT consulting firm.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user-facing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API requests, which resulted in a 40% reduction in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50% and reducing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managed distributed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and product managers to innovate features that streamlines user interactions in e-commerce platforms, directly contributing to a 20%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team productivity by automating repetitive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and reducing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production workloads, overcoming critical bottlenecks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facilitated knowledge sharing sessions that improved the team's coding standards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Docker for development and deployment, ensuring environment consistency across all stages of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messaging queues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communication between microservices, improving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APIs, leveraging best practices to ensure security and performance while enabling seamless client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mentored junior engineers on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API development, and cloud architecture,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stakeholders to refine product requirements and design specifications that align technological solutions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lifecycle from concept through deployment by designing and implementing back-end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(Node.js)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improvement in speed and responsiveness for client-facing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S3 and EC2 for scalable storage and computing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decrease in response times for data-intensive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client developers could easily integrate services with minimum friction.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 applying SCRUM, facilitating regular team stand-ups that promoted communication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code quality through rigorous testing practices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95% coverage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migration strategies and executed migration processes with minimum downtime, ensuring seamless transitions during updates.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identity management solutions utilizing OAuth 2.0 and OpenID Connect, enhancing security and user management 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dedicated team to improve product offerings with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yielding a 15% increase in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APIs supporting mobile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ensuring functionality and access management, significantly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visibility into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architecture discussions that shaped product direction and delivery timelines, positively affecting project schedules.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microservice responsible for billing and invoicing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efficient cross-service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align strategic goals with technical capabilities, ensuring user needs were met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aimed at improving the development lifecycle and reducing time-to-market for new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