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Software Engineer with extensive experience in building scalable cloud-based applications. Proficient in Python and React (JavaScript/TypeScript), with a strong focus on CI/CD practices and AWS cloud services. Adept at collaborating with cross-functional teams to deliver innovative solutions that enhance business processes and drive user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ECS, SQS, RDS,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CI/CD, Git, Docker,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JUnit,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REST APIs,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Microservices, API Development,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processes thousands of transactions for a financial client, ensuring seamless user experiences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enabling robust data interactions for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deployment cycles for critical updates to company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and significantly reducing bug rates for production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for scalable applications in a cloud-native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application architecture, resulting in the improvement of team output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scrum meetings to facilitate communication within the team and ensure alignment on project timelines and deliverables, following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authentication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web applications, enhancing security and user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that reduced system complexity and improved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B2B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analysis and reporting capabilities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offering constructive feedback and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project documentation and user guides, improving both team efficiency and client satisfaction for delivered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techniques, achieving a 30% increase in application load times through efficient coding practices and the use of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a client-facing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 that increased user engagement by 25%,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rendering capabilities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enhance SEO effectiveness and improve page load times, leveraging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logging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application performance and troubleshooting issues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visualization, promoting data-driven decision-making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delivered features met or exceeded quality benchmarks while adhering to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contributing to improved team coherence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boards for project tracking, enhancing workflow transparency and accountability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for identity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 and simplifying user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to a microservices architecture for a legacy application within the company, reducing deployment dependencies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for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testing and deployment, fostering a culture of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various technical documents that guided teams in the integration of APIs and ensured collaboration across development, QA, and operations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optimization on existing applications to enhance performance and reduce resource consumption, achieving up to a 20% performance increase with minimal infrastructure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application issues for clients, achieving high satisfaction rates and maintaining long-term customer relationships.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