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proficient Full-Stack Engineer with extensive experience in developing scalable applications with a focus on AI technologies. Demonstrated expertise in both front-end and back-end development, with a strong command of industry-specific tools and frameworks. Passionate about leveraging technology to enhance talent intelligence solutions and optimize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HTML,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APIs, RESTful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 integration, Large Language Models, GPT,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CI/CD,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protection, Security best practices, Data privacy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TypeScript, enhancing user engagement on the talent intelligence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back-end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and API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AI-driven features,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 (LLMs)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GPT, to automate the talent matching process, increasing candidate relevance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set requirements for new features, employing Agile methodologies to boost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by incorporating data validation and protection measures across all application layers,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code reviews and testing cycles,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high-quality code and reduce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integrations with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cost efficiency through strategic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optimized queries for high-speed data retrieval, resulting in a 50% improvement in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deployment processes and reducing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user authentication and authorization systems, ensuring secure access to platform features and sensitive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discussions to translate business needs into technical solutions, helping align technology with corporate vision and strategy.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software development processes and architectural decisions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team collaboration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code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 architecture, fostering a culture of learning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cross-training among teams to ensure a unified approach to AI integration across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delivering scalable solutions to client-specific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interchange between front-end client interfaces and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user-friendly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design, significantly improving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for newly developed features to gather data-driven insights, enhancing decision-making on new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cloud-based EC2 instances and RDS databases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host applications, improving deployment efficiency and access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infrastructure team to containerize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consistent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 migration strategies from legacy systems to modern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protocols by integrating OAuth2.0 and JWT for secure user authentication.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efforts for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API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identity verification systems for enhanced user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visual consistency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modular,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code duplication and improving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refine user stories and ensure technology alignment with client expectations, enabling deployment of user-centric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CI/CD practices for automated testing and deployment,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regular meetings with cross-department teams to address operational priorities and align on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processes to resolve issues in legacy applications, ensuring minimal disruption to service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