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Full-Stack Engineer with a strong background in developing scalable web applications using a variety of technologies. Proficient in both backend and frontend development, with a passion for gaming technology and a deep understanding of software engineering practices. Aiming to leverage expertise in modern frameworks and tools to enhance the gaming experience at Bungie.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Redux,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Python, Django, Ruby on Rails, Java,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Webpack, Babel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high-performance web application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seamless user interactions for gaming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system's responsiveness and scalability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containerized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the deployment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executed a comprehensive suite of automated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reduction in deployment errors over six months.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implement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accelerating the release cycle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such as Lambda and DynamoDB, to improve cloud functionality and management of backend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front-end architecture and design transitions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management, improving app performance and load times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user feedback into the development cycle through Agile methodologies, improving the feature release satisfaction score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the maintainability and robustness of client-side code, resulting in fewer runtime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weekly knowledge-sharing sessions to promote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coding standards among junior developers and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enterprise-level backend development, guiding them to successful project completions.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Defined performance metrics and debugging processes that resolved key issues identified during user acceptance testing as a means to improve product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 to ensure professional standards were met, aiding team members in adopting effective programming patterns and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demonstrating strong proficiency in full-stack development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asynchronous data fetching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page load speed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game designers to create seamless API integrations that supported dynamic game content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security audits and transactions validations,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to enhance application security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a microservices architecture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improved system reliability and efficiency under heavy 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modern build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Babel to optimize asset loading times, enhancing user engagement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weekly stand-ups as part of the Agile process to ensure project timelines were met and to facilitate communication across functional teams.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and configuration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focusing on performance tuning and query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programming and code reviews to uphold the best coding practices, including SOLID principles and design patterns.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 and continuous integration, resulting in significant improvements in testing coverage for web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develop internal tools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analytics, enabling better decisions based on user activity patterns and trends.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legacy systems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ensuring minimal downtime and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data integration techniques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data processing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hackathons and coding challenges, fostering a culture of innovation and problem-solving within the engineering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