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building AI-powered solutions, utilizing diverse technologies and frameworks to innovate creative workflows. Proven track record of designing and deploying complex applications by integrating LLMs and automation tools, contributing to a data-driven creative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WebRTC, GraphQL, RESTful APIs,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enhancing overall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LLMs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creative workflows to automate design production which reduced manual effort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user data securely, ensuring compliance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create AI-powered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creative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to support front-end applications and mobile integrations, increasing data accessibility and service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models in production environments, integrating with various data sources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 caching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streamline data fetching processes, improving client-side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training sessions for development teams on best practices for deploying AI solutions, fostering collaborative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to refine product features based on user interaction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team skill advancement and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 and participated in regular sprint reviews to ensure project alignment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inventory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reliability in inventory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query performance while facilitating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independent deployments and enhancing overall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enjoying a 15% increase in frontend load performance via optimized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robustness and catching bugs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DevOps initiatives by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development processes, streamlining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an interactive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allowed real-time data visualization for client projects;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develop technical specifications, ensuring clear project objectives and adherence to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authentication processes, which enhanced the system's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to facilitate interaction with front-end applications in a secure manner,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iterate on application features using agile methodologies which improved adoption rates for the interfaces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converting designs into functional components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improving performance through query optimization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that promoted best coding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and conducted workshops for staff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utility of deployed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