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extensive experience in developing scalable web applications. Proven technical leadership in implementing robust software solutions using cutting-edge technologies, ensuring high code quality and seamless integration of complex systems. Passionate about utilizing AI and technology to increase government transparency and enhance user experience. Actively contributing to cross-functional teams with commitment to excellence, mentorship, and innovative problem-solving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NextJS, Remix, Express,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Fortune 500 clients and ensuring the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reduce time to production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server-side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scalability and maintainability within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that streamlined data processing,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coding standards and improve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UX/UI teams to enhance user experience through interactive front-end components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while acting as the primary liaison between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advanced search functionalities, significantly improving data retrieval speed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the confidence in application stability and performance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architecture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multi-region setups to enhance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 and application uptime reliably.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engagement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containerized environments for consistent application deployment across development and production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processes, reducing redundant queries and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continuous integration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code deployment cycles, ensuring rapid feature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(JWT) for authentication and authorization, safeguarding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align technical solutions with client business goals, enhancing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that integrated with third-party services, giving clients access to richer functionalities and wider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in various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honing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working towards optimized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 requirement analysis to ensure alignment of technical project outputs with client expectations, improving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storage and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enhanced performance metrics and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