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a proven track record of developing scalable web applications leveraging extensive knowledge in AI/ML integration, real-time data processing, and interactive storytelling technologies. Demonstrated expertise in leading multidisciplinary development teams to deliver cutting-edge technological solutions in interactive media.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OpenAI GPT-3,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Swagger,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REST APIs, Microservices, Graph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platform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facilitate real-time user interactions for over 100k concurrent users, enhancing story-driven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delivering dynamic content seamlessly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optimize machine learning models deployed within production environments, significantly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 generation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reduced downtime and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and analytics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observe user behavior and engagement metrics, driving targeted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with web applications to personalize content delivery based on user interaction patterns,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workflows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adhering to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user data in compliance with GDPR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maintain high quality within the codebase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innovative interactive storytelling features in collaboration with Hollywood creatives,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team expertise to redefine user engagement norms.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brainstorming sessions with a multidisciplinary team to creatively enrich story narratives powered by AI, resulting in unique user-generated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metrics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improving load times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standards for security and performance via rigorous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projects for enterprise-level applications integrating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facilitate efficient data exchange between client and server, enhancing application responsiveness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documentation, ensuring smooth communication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user-focused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UI/UX workflows resulting in improved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techniques, resulting in a 20% reduction in load times across critical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various services like EC2, S3, and RDS to improve scalability and reliability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teams, adapting project deliverables based on iterative feedback and aligning with client goals for dynamic consulting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data synchronization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a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user authentication and authorization processes, ensuring secure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for team collaboration and data visualization, improving team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and improved functionality through modular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to modern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aimed at refining coding standards and development workflows, contributing to a more efficient engineering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managers to translate business requirements into technical specifications, resulting in clear project guidelines and improved stakeholder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led workshops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methodologies, increasing team efficiency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deployment activities across staging and production environments, ensuring seamless transitions and minimal service disruption.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