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developing and implementing robust web applications. Proficient in modern JavaScript frameworks, back-end technologies, and DevOps practices, with a solid understanding of Agile methodologies. Demonstrated ability to lead engineering teams, enhance software solutions, and deliver high-impact technology solutions in fast-paced environments. Eager to drive innovative solutions in education technology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SOAP,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development of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architecture and responsive design for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pipelines, resulting in a 30% reduction in deployment times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data-driven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integration issues and improved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enhancing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developer workflows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interactions and build processes, respectively.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led daily stand-ups to track progress and remove blockers, which improved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functional programming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resolved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caching, decreasing load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modular architecture that enabled code reusability across multiple projects, significantly speeding up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feature set with real-time data such as analytics and user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debugging and optimization on the existing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(UAT) sessions to align deliverables with end-user needs, resulting in enhanced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RESTful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performance by implementing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Ehcache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ensuring timely delivery of project milestones while maintaining a focus on quality assurance through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translate customer requirements into technical designs,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APIs compliant with OWASP standards to ensure data integrity and security within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overall satisfaction ratings by 15% within the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 transitions from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operational costs and improved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training sessions for peers, promoting best practices in code quality and documentation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modular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client-server communication, adhering to industry standards and improving integration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profiling and optimizing code, decreasing runtime by 25%,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streamlining database access and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security assessments, implementing measures such as input validation and output encoding to mitigate XSS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participating in sprint reviews and retrospective meetings to foster continuous improvement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SDLC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knowledge transfer and training new hires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organized code repositories and facilitating collaboration among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