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experienced Senior Full Stack Engineer with over 8 years in development, specializing in creating scalable applications in high-demand environments. Proven ability to leverage full stack technologies such as Python, FastAPI, Angular, and AWS to deliver robust solutions that enhance user experience and achieve business objectives. Excels in agile environments with complex project requirements, delivering end-to-end features while ensuring code quality and architectural integrity.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FastAPI, Flask, Django, Angular,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EC2, AWS RDS, AWS S3, AWS Lambdas,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GitHub Actions, CodeBuild,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Pytest,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RESTful APIs, GraphQL, Third-party integrations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Microsoft 365,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Apache Superset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cloud-native application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analysis of patient data to improve mental health assessments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database.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clinical and product teams to develop intuitive user interfaces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across applications serving people living with cancer.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Owned the architectural decisions for a scalable API platform, employing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and improving system performance, ultimately reducing latency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CI/CD pipeline utilizing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deployments on </w:t>
      </w:r>
      <w:r w:rsidRPr="00C3688B">
        <w:rPr>
          <w:rFonts w:ascii="Arial" w:hAnsi="Arial" w:cs="Arial"/>
          <w:b/>
          <w:color w:val="424242" w:themeColor="text1" w:themeShade="BF"/>
          <w:sz w:val="20"/>
          <w:szCs w:val="20"/>
        </w:rPr>
        <w:t xml:space="preserve">AWS 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deployment time by 30% while maintaining high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file storage and retrieval within web applications, ensuring data privacy compliance critical to health information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project workflows, leading to faster delivery of cross-functional features with integrated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code coverage metric that enhanced the reliability of new features implemented in the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collaborative workshops with stakeholders to gather requirements and translate complex health workflows into simplified technical specifications, resulting in enhanced product direction.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health coaching recommendation engines utilizing data of over 22M patients, applying machine learning concepts through Python libraries such as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in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ensuring adherence to coding standards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efficiency, which contributed to faster analytics reporting tools crucial for decision-making processes in patient care.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security teams to ensure compliance with healthcare regulations, implementing necessary encryption techniques for data in transit and at rest using AWS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emerging technologies to inform architectural strategy, leveraging insights to propose features targeting the mental health needs of cancer patients.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management and secure data transactions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backend database.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RESTful APIs that connect different healthcare services, ensuring secure data exchange between systems following HIPAA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migration project of legacy applications to modern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performance and cost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Co-designed frontend components utilizing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user experience and accessibility across various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development tasks and track progress, which resulted in a more transparent and efficient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with client stakeholders to understand their needs and translate them into technical requirements, building rapport and ensuring project alignment.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 security protocols using OAuth and JWT to safeguard sensitive patient information while developing authentication mechanisms for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unit and integration testing procedures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significantly reduced defect rates and higher satisfaction among users.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architecture and deployment of microservices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service-oriented architecture that increased the scalability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of data processing tasks, improving operational workflows across several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to gather requirements and provide technical insights which shaped the implementation of core features in security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reporting dashboard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stakeholders to visualize data insights seamlessly.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SQL for complex data querying and reporting, enhancing the analytical capabilities of the developed tools while ensuring data integrity across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a secure authentication mechanism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vulnerabilities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a RESTful API layer for external integrations, which streamlined data synchronization between various enterprise systems, using </w:t>
      </w:r>
      <w:r w:rsidRPr="00C3688B">
        <w:rPr>
          <w:rFonts w:ascii="Arial" w:hAnsi="Arial" w:cs="Arial"/>
          <w:b/>
          <w:bCs/>
          <w:color w:val="424242" w:themeColor="text1" w:themeShade="BF"/>
          <w:sz w:val="20"/>
        </w:rPr>
        <w:t xml:space="preserve">FastAPI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coding practices and project workflows, establishing knowledge-sharing resources that improved onboarding processes for new engineers.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