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expertise in developing and deploying high-performing web applications within the cryptocurrency domain. Proven ability to leverage leading-edge tools and technologies to build scalable solutions while collaborating with diverse teams to achieve business goals. Committed to innovation and excellence in software development, utilizing a deep understanding of both frontend and backend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Terraform,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improving the application performance by over 30%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building decentralized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smart contract development, achieving faster transaction processing and enhanced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streamlined release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various third-party services, facilitating seamless data exchange and enhancing overall usability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and ensuring data integrity, which contributed to a 20% improvement in database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 collaborative team environment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resource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reliability and scalability of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practices, including daily stand-ups and sprint retrospectives, which improved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robustness and significantly reducing production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loops and analytics into applications to guide product iteration cycles, leveraging insights to align feature development with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frameworks, including transitioning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maintainability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secure wallet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encryption techniques, enhancing user privacy and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marketing and sales, to define technical product specs aligned with client requirements, leveraging technical expertise to deliver exceptional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application throughput for critical enterprise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corporate clients, ensuring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third-party APIs into existing applications seamlessly,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sprint planning and retrospectives to ensure deliverable timelines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and improving data retrieval performance for client-centric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reliability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for continuous integration/delivery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software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processes,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application development processes and API integrations, ensuring clarity and supporting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(Sass) for efficient styling and improving application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agile practices, promoting best coding standards and facilitating team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