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experience in designing and implementing high-performance web applications. Expertise in building scalable front-end architectures using advanced frameworks and technologies, with a strong focus on optimizing user experiences and enhancing developer productivity. Known for delivering complex projects on-time through agile methodologies while maintaining a commitment to quality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HTTP/HTTPS, WebSockets,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Rollup,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Micro-frontend Architecture, Responsive Design, Cross-browser Compatibility, Node.js,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client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high-performance caching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improving application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of a micro-frontend-based architecture that enabled independent deployment and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UI component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testing methodologies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enforcing high standards in functionality and performance by conducting rigorous QA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JavaScript frameworks, enhancing code maintainability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industry-leading practices in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and reliable software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transform innovative designs into functional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layout.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Elevated application performance metrics through code refactoring and optimization techniques, achieving a 40% reduction in load times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engineers by providing mentorship and code reviews, fostering an environment of shared knowledge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seamless integration of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transactions and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training materials to facilitate effective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 onboarding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of new technologies, ensuring alignment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Chose the right technology stack,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integrations, that minimized bounce rates and maximized user retention on marketing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across dispersed locations to align project goals and deliverables, focusing on iterative development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client acquisition innovations that strengthened market competitiveness.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front-end functionalities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interactions with data-driven insights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responsive design strategies to create adaptive layouts that meet varying consumer needs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component libraries for reuse across global applications resulting in a uniform experience across products,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bundling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between client and server while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 by refactoring existing applications which decreased load times and improved client satisfaction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design mock-ups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specifications and quality assurance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protecting the company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building internal tools aimed at productivity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formulate responsive interfaces, enhancing application visibility and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HTML5 skills to create dynamic layouts and interactive content management features, focusing on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middleware to improve backend communication efficiency and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QA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determine software reliability and performance, ensuring projects met client objectives and technical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project development lifecycle to foster efficient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 to address ongoing improvements and streamline project management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