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of expertise in developing responsive web applications using modern frameworks and technologies. Highly proficient in creating visually appealing interfaces with a strong focus on user experience. Proven ability to lead projects from conception through to execution while maintaining high standards of coding practices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 5.3, React, Vue.js,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and 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EJS, Node.js, Express.js, MongoDB, 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SVG, Webpack, npm, Docker,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user experience across devices, improving loading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extended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projects while maintaining the framework's structure, enabling a consistent design system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templates that allowed users to interactively filter and sort assets, resulting in a 25%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snippets embedded within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Pug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reducing the overhead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visually stunning and functional application layouts, resulting in improved interface usability as reflected in user testing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graphics and lightweight icons to replace outdated imagery, significantly enhancing the modern aesthetic of applications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design systems and code updates, facilitating easier handoff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code changes and collaborated on projects with cross-functional teams following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and performance of web applications, increasing overall reliability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ensure adherence to coding standards and foster a culture of continuous improvement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and managed dependencies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project builds were optimized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thus reducing build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design prototypes into responsive layouts while ensuring adherence to the project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front-end coding standards, making it clear for peers to follow, which resulted in a 35% reduction in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SEO and responsive design, which enhanced the application's visibility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applications, tailoring designs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customizing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to improve overall site usability by streamlining navigation and enhancing user interaction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wireframes and mockups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best practices in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versions effectively and collaborated with developers in an Agile team environment to enhance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and document requirements, translating them into actionable development tasks delivered in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website images and resources for performance, leveraging techniques such as image compression and lazy loading to ensure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based on user feedback, refining existing applications to improve user satisfaction scores,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maintainability and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with frontend frameworks, enabling dynamic content management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by making small edits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and enhancing layouts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customizations, ensuring visual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to discuss and outline project requirements based on client needs, effectively bridging the gap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and tested compatibility across different browsers and devices, ensuring optimal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