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building innovative web applications. Proficient in modern JavaScript frameworks and libraries, with a strong background in responsive design and user-centric development. Proven ability to leverage cutting-edge technologies to deliver high-quality solutions that enhance user experience and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JavaScript, TypeScript,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Webpack, Babel, Git, Jira, Figma, Postman,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AWS, Firebase, Azure,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CI/CD,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modular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20% through effective state management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maintainability and scalability across multiple projects in a SaaS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consistent user experience across mobile and desktop platforms,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ensure a seamless translation of design into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handoff and mockups.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rendering, enhancing data fetching efficiency by leveraging Axios for streamlined API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Agile methodologies to improve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 by 40% and improving developer productivity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and code 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end-to-end testing, ensuring high code quality and reliability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and streamlined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architecture that supports rapid changes and high-availability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requirements, developing high-fidelity prototypes and iterating based on user feedback and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leading to improved communication with backend teams and faster iterations on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that utilize mobile-first principles to enhance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their needs, translating business objectives into technology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scrums and sprint planning, aligning with product ownership to prioritize technical work based on user stories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complexity management in large-scale applications and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 in a team environment, employing branching strategies that reinforce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assessing and resolving front-end performance bottlenecks, including image optimization and code minification.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shared knowledge sessions to instill best practices in component architecture and responsive design, contributing to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coding standards through implementation of linting tools and adherence to project style guides, ensuring consistency and quality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the maintainability of legacy systems, implementing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through integration with backend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exchanges and service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new features using technical writing practices that clarify complex technical concepts for end users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articulate technical solutions clearly and effectively, fostering strong relationships and enhancing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research and feasibility assessments for new technologies that could be integrated into existing applications, ensuring alignment with the latest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prioritized completion deadlines, learning time management skills essential for meeting high-stress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frameworks, ensuring compatibility across various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