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5 years of proven expertise in building scalable and maintainable web applications. Specializing in Next.js and TypeScript, with a strong focus on creating user-centric experiences by integrating advanced frontend architectures. Proven track record of collaborating with cross-functional teams to optimize performance and deliver high-quality user interfaces.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CSS,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SSR, SEO, Application Performance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API Mocks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Tokens, Styled Components, Component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14+ to enhance user experience across multiple platforms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caching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rendering techniques, significantly reducing load times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wireframes into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consistency in user interface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adhered to strict type definitions, fostering a maintainable codebase that supports high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layouts, ensuring cross-browser compatibility and performance optimization during the design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engaged in design discussions to maintain high quality and performance standards across the team’s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new features based on defined epics and user stories, contributing to project planning and execution in an agile setup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best practices in frontend development; documented technical processes and specifications for team-wide adherence and onboarding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back-end developers and product managers to build and enhance API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frontend applications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providing guidance on coding standards, debugging practices,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helping to elevate overall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improve maintainability and efficiency, reassessing architectural decisions to align with the latest frontend technologies and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retrospectives to continuously improve processes, focusing on the impact of frontend architecture on scalability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with cross-functional teams to explore innovations in UI frameworks and empower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for various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high-performance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convert mockups into functional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enhance collaboration with stakeholders, ensuring timely delivery of milestones while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components for production to ensure robust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applications that incorporate APIs, effectively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smooth data flow and integration with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state management solutions by incorporating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across various components to create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 team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a variety of client projects with 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enhancement of user interfaces, focusing on user accessibility and usability, ensuring compliance with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optimizing work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and ensuring collaborative features were deployed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