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Front-End Engineer with over 8 years of experience in crafting dynamic web applications and interfaces across diverse industries. Adept in leveraging advanced technologies and frameworks to enhance user experience and application performance. Proven track record in leading projects and collaborating with cross-functional teams to deliver exceptional software solutions. Seeking to bring expertise in React, JavaScript, and TypeScript to Torklaw's dynamic engineering team while working remotely.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 and Tools:</w:t>
      </w:r>
      <w:r w:rsidRPr="00C3688B">
        <w:rPr>
          <w:rFonts w:ascii="Arial" w:hAnsi="Arial" w:cs="Arial"/>
          <w:color w:val="424242" w:themeColor="text1" w:themeShade="BF"/>
          <w:sz w:val="20"/>
          <w:szCs w:val="20"/>
        </w:rPr>
        <w:t xml:space="preserve"> Redux, RxJS, Bootstrap, jQuery,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w:t>
      </w:r>
      <w:r w:rsidRPr="00C3688B">
        <w:rPr>
          <w:rFonts w:ascii="Arial" w:hAnsi="Arial" w:cs="Arial"/>
          <w:color w:val="424242" w:themeColor="text1" w:themeShade="BF"/>
          <w:sz w:val="20"/>
          <w:szCs w:val="20"/>
        </w:rPr>
        <w:t xml:space="preserve"> Responsive Design, UI/UX Principles, Figma,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load times by 40% through code optimization and efficient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implement a robust client-side architecture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SEO performance and user engagement metrics by integrating server-side rendering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visualizations, creating intuitive dashboards that leveraged interactive charts and graphs, streamlining data interpretation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scalable user interfaces utilizing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modular styles, alongside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ensuring cross-browser compatibility across all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to enhance application functionality and support real-time updates for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testing and end-to-end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drastically reducing regression bugs reported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by configuring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asset management and leveraging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package management, reducing build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prototype user interfaces, leading to a 25% increase in user satisfaction scores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fostering a culture of code quality and collaborative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Agile methodologies were adopted,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sprint management and retrospectives, successfully improving project timelines and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documentation for API integrations and front-end architecture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onboarding time for new engineers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implemented CI/CD pipelines, ensuring high standards of code quality and seamless integration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tools to analyze app performance analytics, leading to optimizations that reduced load times by an average of 15 seconds across major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mobile-friendly interfaces that met the client's specifications for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(SDLC) activities, including requirements gathering, systems analysis, and solution design,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branching strategies to facilitate collaborative feature development while ensuring stability across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coding standards through code reviews and mentoring while fostering an inclusive team environment for new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deliver projects as per client specifications, utilizing tools like </w:t>
      </w:r>
      <w:r w:rsidRPr="00C3688B">
        <w:rPr>
          <w:rFonts w:ascii="Arial" w:hAnsi="Arial" w:cs="Arial"/>
          <w:b/>
          <w:bCs/>
          <w:color w:val="424242" w:themeColor="text1" w:themeShade="BF"/>
          <w:sz w:val="20"/>
        </w:rPr>
        <w:t xml:space="preserve">InVision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prototypes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components for e-commerce applications that increased the conversion rate by 15% during peak sales events through improved 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reusable components and libraries within the UI ecosystem, ensuring consistency across applications while reducing redundancy through well-structured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user authentication processes, improving front-end security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resulting in a 30% decrease in support tickets.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tool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data entry processes for clients, reducing manual input time by up to 50%, enhancing overall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maintained legacy systems while incrementally upgrading technologies to modern standards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deployment to various cloud platforms,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a smoother transition to microservices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